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2025年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山东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省科技型中小企业创新能力提升工程（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  <w:t>先投后股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类）项目推荐汇总表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 xml:space="preserve">主管部门（盖章）：                  主管部门联系人：      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联系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bidi="ar"/>
        </w:rPr>
        <w:t>电话：</w:t>
      </w:r>
    </w:p>
    <w:tbl>
      <w:tblPr>
        <w:tblStyle w:val="2"/>
        <w:tblW w:w="583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60"/>
        <w:gridCol w:w="960"/>
        <w:gridCol w:w="1040"/>
        <w:gridCol w:w="1000"/>
        <w:gridCol w:w="1294"/>
        <w:gridCol w:w="1068"/>
        <w:gridCol w:w="1068"/>
        <w:gridCol w:w="1068"/>
        <w:gridCol w:w="1068"/>
        <w:gridCol w:w="1068"/>
        <w:gridCol w:w="995"/>
        <w:gridCol w:w="995"/>
        <w:gridCol w:w="995"/>
        <w:gridCol w:w="995"/>
        <w:gridCol w:w="12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1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合作单位</w:t>
            </w:r>
          </w:p>
        </w:tc>
        <w:tc>
          <w:tcPr>
            <w:tcW w:w="39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企业拥有Ⅰ类知识产权数量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2024年销售收入（万元）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2024年研发投入（万元）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近三年平均研发投入金额（万元）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近三年平均研发投入强度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近三年营收复合增长率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负债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率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申请股权资金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自筹资金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黑体" w:hAnsi="宋体" w:eastAsia="黑体" w:cs="黑体"/>
                <w:color w:val="000000" w:themeColor="text1"/>
                <w:kern w:val="0"/>
                <w:sz w:val="24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黑体" w:hAnsi="宋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是否符合“绿色门槛”、科研诚信、社会信用等要求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3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0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36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32"/>
                <w:szCs w:val="32"/>
              </w:rPr>
            </w:pPr>
          </w:p>
        </w:tc>
      </w:tr>
      <w:bookmarkEnd w:id="0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30414"/>
    <w:rsid w:val="63C3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2025-04-14T07:44:00Z</dcterms:created>
  <dc:creator>57396</dc:creator>
  <cp:lastModifiedBy>57396</cp:lastModifiedBy>
  <dcterms:modified xsi:type="dcterms:W3CDTF">2025-04-14T07:45:33Z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934FC8F3CC33463A97B129ED474B620F</vt:lpwstr>
  </property>
</Properties>
</file>